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4A0FD" w14:textId="3CEF466E" w:rsidR="006D49D5" w:rsidRPr="005772CE" w:rsidRDefault="00BD125D" w:rsidP="005772CE">
      <w:pPr>
        <w:pStyle w:val="Heading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5772CE">
        <w:rPr>
          <w:rFonts w:ascii="Arial" w:hAnsi="Arial" w:cs="Arial"/>
          <w:color w:val="000000" w:themeColor="text1"/>
          <w:sz w:val="24"/>
          <w:szCs w:val="24"/>
        </w:rPr>
        <w:t>Food Safety and Nutrition Policy</w:t>
      </w:r>
    </w:p>
    <w:p w14:paraId="56F0EC5D" w14:textId="3EAE39E1" w:rsidR="006D49D5" w:rsidRPr="005772CE" w:rsidRDefault="00BD125D">
      <w:pPr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73A89FB2" w14:textId="77777777" w:rsidR="006D49D5" w:rsidRPr="005772CE" w:rsidRDefault="00BD125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Aim</w:t>
      </w:r>
    </w:p>
    <w:p w14:paraId="27036FCB" w14:textId="77777777" w:rsidR="006D49D5" w:rsidRPr="005772CE" w:rsidRDefault="00BD125D">
      <w:pPr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Our setting provides a clean, safe, and supportive environment where children can learn, develop, and thrive. We fully comply with statutory food safety requirements and meet all safeguarding and welfare standards 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outlined in the Early Years Foundation Stage (EYFS) 2025, including updated Food and Drink and Safer Eating guidance.</w:t>
      </w:r>
    </w:p>
    <w:p w14:paraId="49E48999" w14:textId="77777777" w:rsidR="006D49D5" w:rsidRPr="005772CE" w:rsidRDefault="00BD125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Objectives</w:t>
      </w:r>
    </w:p>
    <w:p w14:paraId="5F7F9E07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We acknowledge our shared responsibility to protect the health and wellbeing of all children and staff in our care. All individ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uals play a part in maintaining a culture of safety and cleanliness.</w:t>
      </w:r>
    </w:p>
    <w:p w14:paraId="3DDE5E84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We follow rigorous hygiene procedures in food storage, preparation, and serving areas, in accordance with Safer Food, Better Business principles and Regulation (EC) 852/2004.</w:t>
      </w:r>
    </w:p>
    <w:p w14:paraId="16DCBDFB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All food and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 drink provided promotes children’s health, supports development, and reduces the risk of diet-related conditions such as obesity and type 2 diabetes. Snacks reflect government guidance for nutrition in early years.</w:t>
      </w:r>
    </w:p>
    <w:p w14:paraId="2D70F95C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In line with EYFS 2025 updates, all chil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dren are closely supervised during meals and are within sight and hearing of a minimum of two staff members at all times when eating.</w:t>
      </w:r>
    </w:p>
    <w:p w14:paraId="621B1A95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We use the four food groups to guide planning snacks: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br/>
        <w:t xml:space="preserve">  - Meat, fish, and other proteins (including plant-based)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br/>
        <w:t xml:space="preserve">  - Milk 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and dairy or suitable alternatives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br/>
        <w:t xml:space="preserve">  - Cereals and grains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br/>
        <w:t xml:space="preserve">  - Fresh fruit and vegetables</w:t>
      </w:r>
    </w:p>
    <w:p w14:paraId="44D7B001" w14:textId="73B17779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Children under 5 are not served food items identified as choking hazards unless prepared safely (e.g., grapes halved lengthways, hard vegetables cooked and softened).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br/>
      </w: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  - Whole grapes, cherry tomatoes, and hard fruits are cut lengthways and into small pieces. Nuts and similar high-risk choking foods are not served to under-5s.</w:t>
      </w:r>
    </w:p>
    <w:p w14:paraId="2187E318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Water is always available and accessible throughout the day.</w:t>
      </w:r>
    </w:p>
    <w:p w14:paraId="751FC331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We respect and accommodate all ch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ildren’s individual dietary needs, including allergies, cultural, ethical, and medical requirements. This 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lastRenderedPageBreak/>
        <w:t>information is recorded at registration and updated regularly with parents/carers.</w:t>
      </w:r>
    </w:p>
    <w:p w14:paraId="5E9026D6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Risk assessments are conducted for every child with a food allergy 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or dietary requirement, and an individual health care plan is in place where necessary.</w:t>
      </w:r>
    </w:p>
    <w:p w14:paraId="5B2EB948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Allergen information for any food provided is made visible and accessible to all staff. We strictly prevent cross-contact and ensure children with allergies are protect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ed.</w:t>
      </w:r>
    </w:p>
    <w:p w14:paraId="2A86DB52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All food brought from home must follow our food safety guidance, including clear labelling of ingredients if shared or eaten communally (e.g., birthday treats).</w:t>
      </w:r>
    </w:p>
    <w:p w14:paraId="12989C4D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In the event of food poisoning affecting two or more children, we notify Ofsted as soon as 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possible and always within 14 days, as required.</w:t>
      </w:r>
    </w:p>
    <w:p w14:paraId="03B102B4" w14:textId="77777777" w:rsidR="006D49D5" w:rsidRPr="005772CE" w:rsidRDefault="00BD125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Staff Responsibilities</w:t>
      </w:r>
    </w:p>
    <w:p w14:paraId="38C166DE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All staff involved in food handling receive up-to-date Food Hygiene Training and understand current guidance on safe food preparation and allergy management.</w:t>
      </w:r>
    </w:p>
    <w:p w14:paraId="6E942451" w14:textId="77777777" w:rsidR="006D49D5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Staff are trained in paedi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atric first aid, including the management of allergic reactions and choking.</w:t>
      </w:r>
    </w:p>
    <w:p w14:paraId="3771ED4C" w14:textId="45C63DE5" w:rsidR="005772CE" w:rsidRPr="005772CE" w:rsidRDefault="005772CE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Staff are trained in the use of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epipens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when there is a child who requires one.</w:t>
      </w:r>
    </w:p>
    <w:p w14:paraId="4442372E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All staff are familiar with and follow the updated EYFS 2025 Safer Eating protocols.</w:t>
      </w:r>
    </w:p>
    <w:p w14:paraId="3B4BAE03" w14:textId="77777777" w:rsidR="006D49D5" w:rsidRPr="005772CE" w:rsidRDefault="00BD125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Legal Referenc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es</w:t>
      </w:r>
    </w:p>
    <w:p w14:paraId="615F7BCF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EYFS Statutory Framework 2025 (DfE) – Food and Drink and Safer Eating requirements</w:t>
      </w:r>
    </w:p>
    <w:p w14:paraId="271DA26C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Regulation (EC) 852/2004 on the hygiene of foodstuffs</w:t>
      </w:r>
    </w:p>
    <w:p w14:paraId="36ECC421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Food Information Regulations 2014 (allergen labelling)</w:t>
      </w:r>
    </w:p>
    <w:p w14:paraId="342CF6FD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Childcare Act 2006</w:t>
      </w:r>
    </w:p>
    <w:p w14:paraId="3C0C08F3" w14:textId="77777777" w:rsidR="006D49D5" w:rsidRPr="005772CE" w:rsidRDefault="00BD125D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Further Guidance</w:t>
      </w:r>
    </w:p>
    <w:p w14:paraId="34C01F3B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Safer Food, Better 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>Business for Caterers – Food Standards Agency</w:t>
      </w:r>
    </w:p>
    <w:p w14:paraId="497AE2D0" w14:textId="77777777" w:rsidR="006D49D5" w:rsidRPr="005772CE" w:rsidRDefault="00BD125D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Policies &amp; Procedures for the EYFS 2024/25 – Early Years Alliance</w:t>
      </w:r>
    </w:p>
    <w:p w14:paraId="0DD9A550" w14:textId="06B63905" w:rsidR="006D49D5" w:rsidRPr="005772CE" w:rsidRDefault="00BD125D" w:rsidP="005772CE">
      <w:pPr>
        <w:pStyle w:val="ListBullet"/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EYFS 2025 Implementation Support Pack – Department for Education</w:t>
      </w:r>
    </w:p>
    <w:p w14:paraId="71A7B1B8" w14:textId="77777777" w:rsidR="006D49D5" w:rsidRPr="005772CE" w:rsidRDefault="00BD125D">
      <w:pPr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Adopted on: __________________________</w:t>
      </w:r>
    </w:p>
    <w:p w14:paraId="4959E0DF" w14:textId="77777777" w:rsidR="006D49D5" w:rsidRPr="005772CE" w:rsidRDefault="00BD125D">
      <w:pPr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Signed: __________________________</w:t>
      </w:r>
    </w:p>
    <w:p w14:paraId="18149CC3" w14:textId="77777777" w:rsidR="006D49D5" w:rsidRPr="005772CE" w:rsidRDefault="00BD125D">
      <w:pPr>
        <w:rPr>
          <w:rFonts w:ascii="Arial" w:hAnsi="Arial" w:cs="Arial"/>
          <w:color w:val="000000" w:themeColor="text1"/>
          <w:sz w:val="24"/>
          <w:szCs w:val="24"/>
        </w:rPr>
      </w:pPr>
      <w:r w:rsidRPr="005772CE">
        <w:rPr>
          <w:rFonts w:ascii="Arial" w:hAnsi="Arial" w:cs="Arial"/>
          <w:color w:val="000000" w:themeColor="text1"/>
          <w:sz w:val="24"/>
          <w:szCs w:val="24"/>
        </w:rPr>
        <w:t>Role:</w:t>
      </w:r>
      <w:r w:rsidRPr="005772CE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</w:t>
      </w:r>
    </w:p>
    <w:sectPr w:rsidR="006D49D5" w:rsidRPr="005772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2CE"/>
    <w:rsid w:val="006D49D5"/>
    <w:rsid w:val="00821D21"/>
    <w:rsid w:val="00AA1D8D"/>
    <w:rsid w:val="00B47730"/>
    <w:rsid w:val="00BD125D"/>
    <w:rsid w:val="00CB0664"/>
    <w:rsid w:val="00EE23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7BED3"/>
  <w14:defaultImageDpi w14:val="300"/>
  <w15:docId w15:val="{DF99D7DB-F0C5-44C1-8496-B5875CF5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7E89E0-359B-4672-8DA4-13AF8EF3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churchwalk</cp:lastModifiedBy>
  <cp:revision>2</cp:revision>
  <dcterms:created xsi:type="dcterms:W3CDTF">2025-07-22T15:53:00Z</dcterms:created>
  <dcterms:modified xsi:type="dcterms:W3CDTF">2025-07-22T15:53:00Z</dcterms:modified>
  <cp:category/>
</cp:coreProperties>
</file>